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0FE38">
      <w:pPr>
        <w:widowControl w:val="0"/>
        <w:spacing w:line="240" w:lineRule="auto"/>
        <w:jc w:val="center"/>
        <w:outlineLvl w:val="0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南昌市202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年“智慧入学”平台</w:t>
      </w:r>
    </w:p>
    <w:p w14:paraId="78D65C1D">
      <w:pPr>
        <w:widowControl w:val="0"/>
        <w:spacing w:line="240" w:lineRule="auto"/>
        <w:jc w:val="center"/>
        <w:outlineLvl w:val="0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公办学校报到操作说明</w:t>
      </w:r>
    </w:p>
    <w:p w14:paraId="574BC1C3">
      <w:pPr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</w:p>
    <w:p w14:paraId="73DF381A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南昌市义务教育智慧入学数字平台，点击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【初中入学】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【小学入学】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【公办入学】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2E8F504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drawing>
          <wp:inline distT="0" distB="0" distL="114300" distR="114300">
            <wp:extent cx="2160270" cy="4319905"/>
            <wp:effectExtent l="0" t="0" r="11430" b="4445"/>
            <wp:docPr id="19" name="图片 19" descr="c3e94ec81b8723a0cbf6f0f7d49cb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3e94ec81b8723a0cbf6f0f7d49cb6a"/>
                    <pic:cNvPicPr/>
                  </pic:nvPicPr>
                  <pic:blipFill>
                    <a:blip r:embed="rId5"/>
                    <a:srcRect t="509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160270" cy="4319905"/>
            <wp:effectExtent l="0" t="0" r="11430" b="4445"/>
            <wp:docPr id="1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CBFF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497406EF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2.确认分配学校，点击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【公办分配】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1E36E77">
      <w:pPr>
        <w:numPr>
          <w:ilvl w:val="0"/>
          <w:numId w:val="0"/>
        </w:numPr>
        <w:spacing w:line="360" w:lineRule="auto"/>
        <w:ind w:leftChars="0"/>
        <w:jc w:val="center"/>
      </w:pPr>
      <w:r>
        <w:drawing>
          <wp:inline distT="0" distB="0" distL="114300" distR="114300">
            <wp:extent cx="2160270" cy="4319905"/>
            <wp:effectExtent l="0" t="0" r="11430" b="4445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F4E0E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DBD26DC">
      <w:pPr>
        <w:widowControl/>
        <w:spacing w:line="360" w:lineRule="auto"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br w:type="page"/>
      </w:r>
    </w:p>
    <w:p w14:paraId="7B5DAA4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3.核对学生信息无误后，点击下方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【确认报到】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，经过二次确认，再输入“确认报到”并点击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【提交】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71E9C39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F36E05B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1800225" cy="3599815"/>
            <wp:effectExtent l="0" t="0" r="952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599815"/>
            <wp:effectExtent l="0" t="0" r="9525" b="6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0225" cy="3599815"/>
            <wp:effectExtent l="0" t="0" r="9525" b="63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1D1EF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查看录取状态，点击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【报到通知书】，</w:t>
      </w:r>
      <w:r>
        <w:rPr>
          <w:rFonts w:hint="eastAsia" w:ascii="仿宋" w:hAnsi="仿宋" w:eastAsia="仿宋" w:cs="仿宋"/>
          <w:sz w:val="28"/>
          <w:szCs w:val="28"/>
        </w:rPr>
        <w:t>查看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通知书内容并保存验证码等信息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5451BB5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仿宋" w:hAnsi="仿宋" w:eastAsia="Microsoft YaHei UI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160270" cy="4319905"/>
            <wp:effectExtent l="0" t="0" r="11430" b="4445"/>
            <wp:docPr id="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5"/>
          <w:szCs w:val="25"/>
          <w:lang w:val="en-US" w:eastAsia="zh-CN"/>
        </w:rPr>
        <w:t xml:space="preserve">  </w:t>
      </w:r>
      <w:r>
        <w:drawing>
          <wp:inline distT="0" distB="0" distL="114300" distR="114300">
            <wp:extent cx="2160270" cy="4319905"/>
            <wp:effectExtent l="0" t="0" r="11430" b="4445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19CD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★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特别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注意：请妥善保管电子报到通知书上的验证码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家长需提供报到验证码给录取学校完成报到；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请家长们及时关注录取学校及所在区教体局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公众号推文获取报到信息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。</w:t>
      </w:r>
    </w:p>
    <w:p w14:paraId="5BF28EDC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p w14:paraId="13077844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p w14:paraId="213B2BCC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p w14:paraId="570A60CF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p w14:paraId="6AC7D2D9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p w14:paraId="61CD4D4F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p w14:paraId="1F1181FB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如家庭有多个学生/多胞胎：</w:t>
      </w:r>
    </w:p>
    <w:p w14:paraId="6E3E619B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第一步：核对已分配学校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确认无误后，</w:t>
      </w:r>
      <w:r>
        <w:rPr>
          <w:rFonts w:hint="eastAsia" w:ascii="仿宋" w:hAnsi="仿宋" w:eastAsia="仿宋" w:cs="仿宋"/>
          <w:sz w:val="28"/>
          <w:szCs w:val="28"/>
        </w:rPr>
        <w:t>点击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第一个学生的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【公办分配】</w:t>
      </w:r>
      <w:r>
        <w:rPr>
          <w:rFonts w:hint="eastAsia" w:ascii="宋体" w:hAnsi="宋体" w:eastAsia="宋体"/>
          <w:b/>
          <w:bCs/>
          <w:color w:val="auto"/>
          <w:sz w:val="28"/>
          <w:szCs w:val="32"/>
          <w:lang w:val="en-US" w:eastAsia="zh-CN"/>
        </w:rPr>
        <w:t>。</w:t>
      </w:r>
    </w:p>
    <w:p w14:paraId="73F2EFA7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2160270" cy="4319905"/>
            <wp:effectExtent l="0" t="0" r="11430" b="4445"/>
            <wp:docPr id="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3B30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2158CC75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0CE4B347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269A1057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3AC3F1B9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119025A2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0C8D9886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7E126FB7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721A0186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第二步：</w:t>
      </w:r>
      <w:r>
        <w:rPr>
          <w:rFonts w:hint="eastAsia" w:ascii="仿宋" w:hAnsi="仿宋" w:eastAsia="仿宋" w:cs="仿宋"/>
          <w:sz w:val="28"/>
          <w:szCs w:val="28"/>
        </w:rPr>
        <w:t>核对学生信息后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无误后，选择“双(多)胞胎是否捆绑进行阳光分班”，再次确认捆绑/不捆绑，点击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【确认报到】</w:t>
      </w:r>
      <w:r>
        <w:rPr>
          <w:rFonts w:hint="eastAsia" w:ascii="宋体" w:hAnsi="宋体" w:eastAsia="宋体"/>
          <w:b/>
          <w:bCs/>
          <w:color w:val="auto"/>
          <w:sz w:val="28"/>
          <w:szCs w:val="32"/>
          <w:lang w:val="en-US" w:eastAsia="zh-CN"/>
        </w:rPr>
        <w:t>。</w:t>
      </w:r>
    </w:p>
    <w:p w14:paraId="1F262AD9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2160270" cy="4319905"/>
            <wp:effectExtent l="0" t="0" r="11430" b="4445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160270" cy="4319905"/>
            <wp:effectExtent l="0" t="0" r="11430" b="4445"/>
            <wp:docPr id="1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4A1FC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后续操作可参照正常流程的3-4步骤进行操作；完成第一个学生的报到后，回到首页，点击下一个学生的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【公办分配】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完成全部报到操作流程。</w:t>
      </w:r>
    </w:p>
    <w:p w14:paraId="1ACDC07C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0A52DBB8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3770A67A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12F714E4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0C49D800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787AE288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3A3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ABC0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DABC0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jMmVlMDFkNzBiNTgwY2VkZjYxZTJiZWU2ZTZhZDgifQ=="/>
  </w:docVars>
  <w:rsids>
    <w:rsidRoot w:val="001E6C53"/>
    <w:rsid w:val="00085D74"/>
    <w:rsid w:val="000A50FD"/>
    <w:rsid w:val="00135599"/>
    <w:rsid w:val="00141998"/>
    <w:rsid w:val="00171293"/>
    <w:rsid w:val="001946BD"/>
    <w:rsid w:val="001B404B"/>
    <w:rsid w:val="001B7BE0"/>
    <w:rsid w:val="001C24E4"/>
    <w:rsid w:val="001D66CC"/>
    <w:rsid w:val="001E6C53"/>
    <w:rsid w:val="00223807"/>
    <w:rsid w:val="002B685B"/>
    <w:rsid w:val="002C18E0"/>
    <w:rsid w:val="00304410"/>
    <w:rsid w:val="003210F1"/>
    <w:rsid w:val="00345B5B"/>
    <w:rsid w:val="00353D36"/>
    <w:rsid w:val="00383D16"/>
    <w:rsid w:val="003930D7"/>
    <w:rsid w:val="003B119E"/>
    <w:rsid w:val="003B52A6"/>
    <w:rsid w:val="003C006E"/>
    <w:rsid w:val="003D1DA4"/>
    <w:rsid w:val="0041756A"/>
    <w:rsid w:val="004220EE"/>
    <w:rsid w:val="00423CA3"/>
    <w:rsid w:val="00424079"/>
    <w:rsid w:val="00431964"/>
    <w:rsid w:val="0048041C"/>
    <w:rsid w:val="004B1CBD"/>
    <w:rsid w:val="004D557C"/>
    <w:rsid w:val="00520416"/>
    <w:rsid w:val="0052195C"/>
    <w:rsid w:val="005223A2"/>
    <w:rsid w:val="005676AE"/>
    <w:rsid w:val="00587F38"/>
    <w:rsid w:val="005D600B"/>
    <w:rsid w:val="00622148"/>
    <w:rsid w:val="006256C1"/>
    <w:rsid w:val="006360BD"/>
    <w:rsid w:val="0067677D"/>
    <w:rsid w:val="00691E43"/>
    <w:rsid w:val="006E24F5"/>
    <w:rsid w:val="00773950"/>
    <w:rsid w:val="007A63D9"/>
    <w:rsid w:val="007A71DC"/>
    <w:rsid w:val="008248FE"/>
    <w:rsid w:val="0083322D"/>
    <w:rsid w:val="008516A2"/>
    <w:rsid w:val="008865B1"/>
    <w:rsid w:val="008A55BA"/>
    <w:rsid w:val="008A6A33"/>
    <w:rsid w:val="008C4243"/>
    <w:rsid w:val="008D1A75"/>
    <w:rsid w:val="008D6128"/>
    <w:rsid w:val="008F748A"/>
    <w:rsid w:val="008F7F2B"/>
    <w:rsid w:val="00924EC1"/>
    <w:rsid w:val="00931664"/>
    <w:rsid w:val="00937705"/>
    <w:rsid w:val="00946A47"/>
    <w:rsid w:val="00970E76"/>
    <w:rsid w:val="00A96E07"/>
    <w:rsid w:val="00AD7F84"/>
    <w:rsid w:val="00AF6706"/>
    <w:rsid w:val="00B26DB2"/>
    <w:rsid w:val="00B74A72"/>
    <w:rsid w:val="00BA1EE2"/>
    <w:rsid w:val="00BA29F5"/>
    <w:rsid w:val="00BB5930"/>
    <w:rsid w:val="00C42AEB"/>
    <w:rsid w:val="00C5415A"/>
    <w:rsid w:val="00C84172"/>
    <w:rsid w:val="00CD134F"/>
    <w:rsid w:val="00CE1ACD"/>
    <w:rsid w:val="00CF756F"/>
    <w:rsid w:val="00D27A02"/>
    <w:rsid w:val="00D37590"/>
    <w:rsid w:val="00E65874"/>
    <w:rsid w:val="00E77243"/>
    <w:rsid w:val="00E811F8"/>
    <w:rsid w:val="00EA1948"/>
    <w:rsid w:val="00EF0646"/>
    <w:rsid w:val="00EF573B"/>
    <w:rsid w:val="00F36CA6"/>
    <w:rsid w:val="01511795"/>
    <w:rsid w:val="02E5725D"/>
    <w:rsid w:val="02FF7BF3"/>
    <w:rsid w:val="04586762"/>
    <w:rsid w:val="049D6337"/>
    <w:rsid w:val="062762D6"/>
    <w:rsid w:val="0B482551"/>
    <w:rsid w:val="0D1B67E4"/>
    <w:rsid w:val="0E26072A"/>
    <w:rsid w:val="0FED14FF"/>
    <w:rsid w:val="11D0732A"/>
    <w:rsid w:val="179712A3"/>
    <w:rsid w:val="194F4FBD"/>
    <w:rsid w:val="1AD27C6F"/>
    <w:rsid w:val="1B722B13"/>
    <w:rsid w:val="1D350989"/>
    <w:rsid w:val="203E5816"/>
    <w:rsid w:val="204C4954"/>
    <w:rsid w:val="21925A11"/>
    <w:rsid w:val="287C746C"/>
    <w:rsid w:val="29626662"/>
    <w:rsid w:val="29BC476C"/>
    <w:rsid w:val="2BCD623D"/>
    <w:rsid w:val="2CD566ED"/>
    <w:rsid w:val="331C5AD4"/>
    <w:rsid w:val="36E65B59"/>
    <w:rsid w:val="380310F4"/>
    <w:rsid w:val="39D52E80"/>
    <w:rsid w:val="3B027CA5"/>
    <w:rsid w:val="3C8F6F05"/>
    <w:rsid w:val="3CD4195F"/>
    <w:rsid w:val="3FC03C8B"/>
    <w:rsid w:val="3FF51B86"/>
    <w:rsid w:val="400141B8"/>
    <w:rsid w:val="40DC2D46"/>
    <w:rsid w:val="448644B6"/>
    <w:rsid w:val="44A31BED"/>
    <w:rsid w:val="45293834"/>
    <w:rsid w:val="47152B0E"/>
    <w:rsid w:val="4CA54934"/>
    <w:rsid w:val="4FE038BA"/>
    <w:rsid w:val="51C70EA9"/>
    <w:rsid w:val="538F1D0F"/>
    <w:rsid w:val="54FB1595"/>
    <w:rsid w:val="554741A1"/>
    <w:rsid w:val="57655DBD"/>
    <w:rsid w:val="576A47B0"/>
    <w:rsid w:val="5825158A"/>
    <w:rsid w:val="58F22CAF"/>
    <w:rsid w:val="59BB2A06"/>
    <w:rsid w:val="5F67539C"/>
    <w:rsid w:val="613D1544"/>
    <w:rsid w:val="61A15272"/>
    <w:rsid w:val="62B92888"/>
    <w:rsid w:val="64B60048"/>
    <w:rsid w:val="65717EF0"/>
    <w:rsid w:val="67144738"/>
    <w:rsid w:val="67EB746D"/>
    <w:rsid w:val="68065447"/>
    <w:rsid w:val="689B6B29"/>
    <w:rsid w:val="6D590E62"/>
    <w:rsid w:val="6FA2459F"/>
    <w:rsid w:val="723E72D0"/>
    <w:rsid w:val="72834520"/>
    <w:rsid w:val="74031DBD"/>
    <w:rsid w:val="74092E99"/>
    <w:rsid w:val="7763329E"/>
    <w:rsid w:val="7BDA7DCC"/>
    <w:rsid w:val="7D3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409</Words>
  <Characters>418</Characters>
  <Lines>2</Lines>
  <Paragraphs>1</Paragraphs>
  <TotalTime>0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2022-07-24T01:56:00Z</dcterms:created>
  <dc:creator>yi wang</dc:creator>
  <cp:lastModifiedBy>昱Yu</cp:lastModifiedBy>
  <dcterms:modified xsi:type="dcterms:W3CDTF">2025-07-18T14:24:47Z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35776453BFCE4689ABECDC51C40139A4_13</vt:lpwstr>
  </property>
  <property fmtid="{D5CDD505-2E9C-101B-9397-08002B2CF9AE}" pid="4" name="KSOTemplateDocerSaveRecord">
    <vt:lpwstr>eyJoZGlkIjoiZTUzNWE2Mjk3MjZjZjcxZGEzZjFmMzRmZjgwNGU5NGEiLCJ1c2VySWQiOiIzNjU0NDQ1NzIifQ==</vt:lpwstr>
  </property>
</Properties>
</file>